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BayLobbyRG (Bayern) — Sanktionen, Ordnungswidrigkeiten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einem Verstoß gegen die Bestimmungen dieses Gesetzes kann die Landtagspräsidentin oder der Landtagspräsident die Erteilung von Zugangsberechtigungen zum Landtag verweigern oder bereits erteilte Zugangsberechtigungen entziehen.</w:t>
      </w:r>
    </w:p>
    <w:p>
      <w:r>
        <w:t xml:space="preserve">(2) Registerpflichtige dürfen an öffentlichen Anhörungen der Ausschüsse des Landtags nicht mitwirken, solange Angaben nach Art. 3 Abs. 3 verweigert werden.</w:t>
      </w:r>
    </w:p>
    <w:p>
      <w:r>
        <w:t xml:space="preserve">(3) Ordnungswidrig handelt, wer vorsätzlich oder fahrlässig</w:t>
      </w:r>
    </w:p>
    <w:p>
      <w:r>
        <w:t xml:space="preserve">1. entgegen Art. 1 Abs. 1, Art. 3 eine Angabe nicht, nicht richtig, nicht vollständig oder nicht rechtzeitig eintragen oder aktualisieren lässt oder</w:t>
      </w:r>
    </w:p>
    <w:p>
      <w:r>
        <w:t xml:space="preserve">2. entgegen Art. 5 registerpflichtige Interessenvertretung betreibt, die gegen den als verbindlich anerkannten Verhaltenskodex verstößt.</w:t>
      </w:r>
    </w:p>
    <w:p>
      <w:r>
        <w:t xml:space="preserve">Die Ordnungswidrigkeit kann mit Geldbuße bis zu fünfzigtausend Euro geahndet werden. Verwaltungsbehörde im Sinne des § 36 Abs. 1 Nr. 1 des Gesetzes über Ordnungswidrigkeiten ist das Landtagsamt.</w:t>
      </w:r>
    </w:p>
    <w:p>
      <w:r>
        <w:rPr>
          <w:color w:val="555555"/>
          <w:sz w:val="17"/>
        </w:rPr>
        <w:t xml:space="preserve">Zitiervorschlag: Art 6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