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BayLobbyRG (Bayern) — Registerpflicht</w:t>
      </w:r>
    </w:p>
    <w:p>
      <w:r>
        <w:rPr>
          <w:color w:val="555555"/>
          <w:sz w:val="18"/>
        </w:rPr>
        <w:t xml:space="preserve">Bayerisches Lobbyregistergesetz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Interessenvertretung gegenüber dem Landtag oder der Staatsregierung betreiben will, muss dies durch Eintragung in ein bei der Landtagspräsidentin oder dem Landtagspräsidenten geführtes öffentliches Register (Lobbyregister) angeben, sobald</w:t>
      </w:r>
    </w:p>
    <w:p>
      <w:r>
        <w:t xml:space="preserve">1. die Interessenvertretung</w:t>
      </w:r>
    </w:p>
    <w:p>
      <w:r>
        <w:t xml:space="preserve">a) regelmäßig betrieben wird,</w:t>
      </w:r>
    </w:p>
    <w:p>
      <w:r>
        <w:t xml:space="preserve">b) auf Dauer angelegt ist oder</w:t>
      </w:r>
    </w:p>
    <w:p>
      <w:r>
        <w:t xml:space="preserve">c) für Dritte erfolgt oder</w:t>
      </w:r>
    </w:p>
    <w:p>
      <w:r>
        <w:t xml:space="preserve">2. innerhalb der jeweils letzten drei Monate mehr als 20 unterschiedliche Interessenvertretungskontakte erfolgten.</w:t>
      </w:r>
    </w:p>
    <w:p>
      <w:r>
        <w:t xml:space="preserve">Die Registerpflicht besteht unabhängig von der Frage der Rechtsfähigkeit und ohne Rücksicht darauf, ob die Interessenvertreterin oder der Interessenvertreter eine natürliche oder juristische Person, Personengesellschaft, organisierte Personenmehrheit, ein Netzwerk oder eine Plattform ist oder auf andere Weise organisiert ist. Die Eintragung hat unverzüglich zu erfolgen, sobald eine der in Satz 1 genannten Voraussetzungen vorliegt.</w:t>
      </w:r>
    </w:p>
    <w:p>
      <w:r>
        <w:t xml:space="preserve">(2) Interessenvertretung ist jede Tätigkeit zum Zweck der unmittelbaren oder mittelbaren Einflussnahme auf die parlamentarische oder regierungsseitige Ausarbeitung oder Beratung politischer oder gesetzgeberischer Vorhaben oder in sonstiger Weise auf den Willensbildungsprozess des Landtags oder der Staatsregierung. Dazu gehören insbesondere</w:t>
      </w:r>
    </w:p>
    <w:p>
      <w:r>
        <w:t xml:space="preserve">1. die zweckentsprechende Kontaktaufnahme,</w:t>
      </w:r>
    </w:p>
    <w:p>
      <w:r>
        <w:t xml:space="preserve">2. die Vorbereitung, Verbreitung und Übermittlung von Informationsmaterial, Stellungnahmen, Gutachten, Diskussions- und Positionspapieren,</w:t>
      </w:r>
    </w:p>
    <w:p>
      <w:r>
        <w:t xml:space="preserve">3. Einladungen zu Veranstaltungen, Treffen, Werbemaßnahmen und Konferenzen,</w:t>
      </w:r>
    </w:p>
    <w:p>
      <w:r>
        <w:t xml:space="preserve">4. freiwillige Beiträge zu Anhörungen oder in der Beratung befindlichen Gesetzgebungsverfahren.</w:t>
      </w:r>
    </w:p>
    <w:p>
      <w:r>
        <w:t xml:space="preserve">(3) Zum Landtag im Sinne der Abs. 1 und 2 Satz 1 gehören</w:t>
      </w:r>
    </w:p>
    <w:p>
      <w:r>
        <w:t xml:space="preserve">1. der Landtag,</w:t>
      </w:r>
    </w:p>
    <w:p>
      <w:r>
        <w:t xml:space="preserve">2. seine Organe und Gremien,</w:t>
      </w:r>
    </w:p>
    <w:p>
      <w:r>
        <w:t xml:space="preserve">3. die Fraktionen und</w:t>
      </w:r>
    </w:p>
    <w:p>
      <w:r>
        <w:t xml:space="preserve">4. die Mitglieder des Landtags.</w:t>
      </w:r>
    </w:p>
    <w:p>
      <w:r>
        <w:t xml:space="preserve">Zur Staatsregierung im Sinne der Abs. 1 und 2 Satz 1 gehören ihre Mitglieder.</w:t>
      </w:r>
    </w:p>
    <w:p>
      <w:r>
        <w:t xml:space="preserve">(4) Das Lobbyregister wird auf der Internetseite des Landtags maschinenlesbar und durchsuchbar veröffentlicht.</w:t>
      </w:r>
    </w:p>
    <w:p>
      <w:r>
        <w:rPr>
          <w:color w:val="555555"/>
          <w:sz w:val="17"/>
        </w:rPr>
        <w:t xml:space="preserve">Zitiervorschlag: Art 1 BayLobbyRG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https://recht.nulegal.eu/gesetze/BayLobbyRG/1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