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BayLehrAkDLG (Bayern)</w:t>
      </w:r>
    </w:p>
    <w:p>
      <w:r>
        <w:rPr>
          <w:color w:val="555555"/>
          <w:sz w:val="18"/>
        </w:rPr>
        <w:t xml:space="preserve">Verordnung über die Errichtung der Akademie für Lehrerfortbildung in Dillingen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die Organisation und die Verwaltung der Akademie für Lehrerfortbildung trifft das Bayerische Staatsministerium für Unterricht, Kultus, Wissenschaft und Kunst weitere Regelungen.</w:t>
      </w:r>
    </w:p>
    <w:p>
      <w:r>
        <w:rPr>
          <w:color w:val="555555"/>
          <w:sz w:val="17"/>
        </w:rPr>
        <w:t xml:space="preserve">Zitiervorschlag: § 3 BayLehrAkDLG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https://recht.nulegal.eu/gesetze/BayLehrAkDLG/3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