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BayLehrAkDLG (Bayern)</w:t>
      </w:r>
    </w:p>
    <w:p>
      <w:r>
        <w:rPr>
          <w:color w:val="555555"/>
          <w:sz w:val="18"/>
        </w:rPr>
        <w:t xml:space="preserve">Verordnung über die Errichtung der Akademie für Lehrerfortbildung in Dillingen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Aufgabe der Akademie ist es, Fortbildungsveranstaltungen für Lehrer aller Schulgattungen durchzuführen und dabei den steigenden fachlichen Anforderungen und der Weiterentwicklung des Schulwesens Rechnung zu tragen.</w:t>
      </w:r>
    </w:p>
    <w:p>
      <w:r>
        <w:t xml:space="preserve">(2) Die Akademie ist für die Beratung und Fortbildung in Medienpädagogik und Mediendidaktik sowie in Informations- und Kommunikationstechnik in Bayern zuständig.</w:t>
      </w:r>
    </w:p>
    <w:p>
      <w:r>
        <w:t xml:space="preserve">(3) Der Studienbetrieb an der Akademie wird im Herbst 1971 aufgenommen werden.</w:t>
      </w:r>
    </w:p>
    <w:p>
      <w:r>
        <w:rPr>
          <w:color w:val="555555"/>
          <w:sz w:val="17"/>
        </w:rPr>
        <w:t xml:space="preserve">Zitiervorschlag: § 2 BayLehrAkDLG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https://recht.nulegal.eu/gesetze/BayLehrAkDLG/2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