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BayLadSchlG (Bayern)</w:t>
      </w:r>
    </w:p>
    <w:p>
      <w:r>
        <w:rPr>
          <w:color w:val="555555"/>
          <w:sz w:val="18"/>
        </w:rPr>
        <w:t xml:space="preserve">Bayerisches Ladenschlussgesetz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Landtag des Freistaates Bayern hat das folgende Gesetz beschlossen, das hiermit bekannt gemacht wird:</w:t>
      </w:r>
    </w:p>
    <w:p>
      <w:r>
        <w:rPr>
          <w:color w:val="555555"/>
          <w:sz w:val="17"/>
        </w:rPr>
        <w:t xml:space="preserve">Zitiervorschlag: Eingangsformel BayLadSchlG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https://recht.nulegal.eu/gesetze/BayLadSchlG/eingangsformel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