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13 BayLaBG (Bayern) — Schuldverschreibungen</w:t>
      </w:r>
    </w:p>
    <w:p>
      <w:r>
        <w:rPr>
          <w:color w:val="555555"/>
          <w:sz w:val="18"/>
        </w:rPr>
        <w:t xml:space="preserve">Bayerisches Landesbank-Gesetz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Namensschuldverschreibungen der Bank sind keine Schuldverschreibungen im Sinn von Art. 24 Abs. 1 des Gesetzes zur Ausführung des Bürgerlichen Gesetzbuchs.</w:t>
      </w:r>
    </w:p>
    <w:p>
      <w:r>
        <w:rPr>
          <w:color w:val="555555"/>
          <w:sz w:val="17"/>
        </w:rPr>
        <w:t xml:space="preserve">Zitiervorschlag: Art 13 BayLaBG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https://recht.nulegal.eu/gesetze/BayLaBG/13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13 BayLaBG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