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BayLTUntG (Bayern) — Zusammensetzung des Unterausschusses</w:t>
      </w:r>
    </w:p>
    <w:p>
      <w:r>
        <w:rPr>
          <w:color w:val="555555"/>
          <w:sz w:val="18"/>
        </w:rPr>
        <w:t xml:space="preserve">Gesetz über die Untersuchungsausschüsse des Bayerischen Landtags Vom 23.3.1970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Dem Unterausschuß müssen mindestens der Vorsitzende des Untersuchungsausschusses und ein Mitglied der antragstellenden Gruppe angehören.</w:t>
      </w:r>
    </w:p>
    <w:p>
      <w:r>
        <w:rPr>
          <w:color w:val="555555"/>
          <w:sz w:val="17"/>
        </w:rPr>
        <w:t xml:space="preserve">Zitiervorschlag: Art 8 BayLTUntG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https://recht.nulegal.eu/gesetze/BayLTUntG/8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