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BayLTUntG (Bayern) — Ausschussmitglieder</w:t>
      </w:r>
    </w:p>
    <w:p>
      <w:r>
        <w:rPr>
          <w:color w:val="555555"/>
          <w:sz w:val="18"/>
        </w:rPr>
        <w:t xml:space="preserve">Gesetz über die Untersuchungsausschüsse des Bayerischen Landtags Vom 23.3.1970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Jeder Untersuchungsausschuss besteht mindestens aus sieben Mitgliedern des Landtags. Diese werden von den Fraktionen bestimmt und von der Vollversammlung bestellt. Maßgebend hierfür ist die Stärke der Fraktionen; das Verfahren nach Sainte-Laguë/Schepers findet Anwendung.</w:t>
      </w:r>
    </w:p>
    <w:p>
      <w:r>
        <w:t xml:space="preserve">(2) Fraktionen, die bei der Besetzung der Ausschüsse nach Abs. 1 nicht zum Zuge kommen, entsenden je ein weiteres Mitglied.</w:t>
      </w:r>
    </w:p>
    <w:p>
      <w:r>
        <w:t xml:space="preserve">(3) Die oder der nach Art. 3 bestellte Vorsitzende und die oder der stellvertretende Vorsitzende werden bei der Ausschussbesetzung nach den Abs. 1 und 2 den Fraktionen zugerechnet, denen sie angehören.</w:t>
      </w:r>
    </w:p>
    <w:p>
      <w:r>
        <w:t xml:space="preserve">(4) Bei der Bestimmung der Mitglieder nach den Abs. 1 und 2 benennen die Fraktionen so viele Stellvertreterinnen und Stellvertreter, wie ihnen Mitglieder nach den Abs. 1 und 2 zustehen.</w:t>
      </w:r>
    </w:p>
    <w:p>
      <w:r>
        <w:rPr>
          <w:color w:val="555555"/>
          <w:sz w:val="17"/>
        </w:rPr>
        <w:t xml:space="preserve">Zitiervorschlag: Art 4 BayLTUntG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https://recht.nulegal.eu/gesetze/BayLTUntG/4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