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BayLTUntG (Bayern) — Verlesen von Protokollen und Schriftstücken</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Protokolle über Untersuchungshandlungen ersuchter Gerichts- und Verwaltungsbehörden sind vor dem Ausschuß zu verlesen.</w:t>
      </w:r>
    </w:p>
    <w:p>
      <w:r>
        <w:t xml:space="preserve">(2) Ebenso sind Schriftstücke, die als Beweismittel dienen, zu verlesen. Von dem Verlesen kann Abstand genommen werden, wenn die Schriftstücke allen Ausschußmitgliedern zugänglich gemacht worden sind und die Mehrheit der anwesenden Ausschußmitglieder auf das Verlesen verzichtet.</w:t>
      </w:r>
    </w:p>
    <w:p>
      <w:r>
        <w:rPr>
          <w:color w:val="555555"/>
          <w:sz w:val="17"/>
        </w:rPr>
        <w:t xml:space="preserve">Zitiervorschlag: Art 19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