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BayLTUntG (Bayern) — Zeugenvernehmung</w:t>
      </w:r>
    </w:p>
    <w:p>
      <w:r>
        <w:rPr>
          <w:color w:val="555555"/>
          <w:sz w:val="18"/>
        </w:rPr>
        <w:t xml:space="preserve">Gesetz über die Untersuchungsausschüsse des Bayerischen Landtags Vom 23.3.1970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durch den Untersuchungsausschuß zu vernehmenden Zeugen sind vor ihrer Vernehmung gemäß den §§ 55 und 57 StPO zu belehren und zu ermahnen.</w:t>
      </w:r>
    </w:p>
    <w:p>
      <w:r>
        <w:t xml:space="preserve">(2) Abgeordnete oder Mitglieder der Staatsregierung sind in entsprechender Anwendung des § 55 StPO darauf hinzuweisen, daß sie auch die Auskunft auf solche Fragen verweigern können, bei deren wahrheitsgemäßer Beantwortung sie sich der Gefahr einer Abgeordneten- oder Ministerklage aussetzen würden.</w:t>
      </w:r>
    </w:p>
    <w:p>
      <w:r>
        <w:t xml:space="preserve">(3) Die Vorschriften der §§ 53 und 53a StPO über weitere Zeugnisverweigerungsrechte finden Anwendung.</w:t>
      </w:r>
    </w:p>
    <w:p>
      <w:r>
        <w:t xml:space="preserve">(4) Der Untersuchungsausschuß kann Betroffene, Zeugen und Sachverständige zur Geheimhaltung verpflichten. Diese sind über die Geheimhaltungspflicht und über die Strafbarkeit eines Verstoßes hiergegen zu belehren.</w:t>
      </w:r>
    </w:p>
    <w:p>
      <w:r>
        <w:t xml:space="preserve">[Amtl. Anm.:] BGBl. FN 312-2</w:t>
      </w:r>
    </w:p>
    <w:p>
      <w:r>
        <w:rPr>
          <w:color w:val="555555"/>
          <w:sz w:val="17"/>
        </w:rPr>
        <w:t xml:space="preserve">Zitiervorschlag: Art 14 BayLTUntG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https://recht.nulegal.eu/gesetze/BayLTUntG/14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