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BayLTUntG (Bayern) — Beweiserhebung durch den Untersuchungsausschuß oder ersuchte Behörden</w:t>
      </w:r>
    </w:p>
    <w:p>
      <w:r>
        <w:rPr>
          <w:color w:val="555555"/>
          <w:sz w:val="18"/>
        </w:rPr>
        <w:t xml:space="preserve">Gesetz über die Untersuchungsausschüsse des Bayerischen Landtags Vom 23.3.1970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Untersuchungsausschuß erhebt die durch den Untersuchungsauftrag gebotenen Beweise. Die Strafprozeßordnung ist entsprechend anzuwenden. Das Brief-, Post-, Telegraphen- und Fernsprechgeheimnis bleibt jedoch unberührt.</w:t>
      </w:r>
    </w:p>
    <w:p>
      <w:r>
        <w:t xml:space="preserve">(2) Die Gerichts- und Verwaltungsbehörden sind verpflichtet, Ersuchen des Untersuchungsausschusses um Beweiserhebung Folge zu leisten. Der Rechts- und Amtshilfe soll sich der Untersuchungsausschuß nur im Rahmen der Vorschriften des Gerichtsverfassungsgesetzes und der Strafprozeßordnung bedienen.</w:t>
      </w:r>
    </w:p>
    <w:p>
      <w:r>
        <w:t xml:space="preserve">(3) Über die Untersuchungshandlungen durch die ersuchten Behörden sind Protokolle aufzunehmen.</w:t>
      </w:r>
    </w:p>
    <w:p>
      <w:r>
        <w:t xml:space="preserve">[Amtl. Anm.:] BGBl. FN 312-2</w:t>
      </w:r>
    </w:p>
    <w:p>
      <w:r>
        <w:t xml:space="preserve">[Amtl. Anm.:] BGBl. FN 300-2</w:t>
      </w:r>
    </w:p>
    <w:p>
      <w:r>
        <w:rPr>
          <w:color w:val="555555"/>
          <w:sz w:val="17"/>
        </w:rPr>
        <w:t xml:space="preserve">Zitiervorschlag: Art 11 BayLTUntG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https://recht.nulegal.eu/gesetze/BayLTUntG/11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