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89 BayLTGeschO (Bayern) — Zurücknahme der Klage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Landtag kann die Klage bis zur Verkündung des Urteils zurücknehmen. Die Zurücknahme muss durch namentliche Abstimmung beschlossen werden.</w:t>
      </w:r>
    </w:p>
    <w:p>
      <w:r>
        <w:t xml:space="preserve">(2) Die Präsidentin oder der Präsident des Landtags hat der Präsidentin oder dem Präsidenten des Verfassungsgerichtshofs oder der Präsidentin oder dem Präsidenten des Bundesverfassungsgerichts sofort eine Ausfertigung des Rücknahmebeschlusses zuzuleiten.</w:t>
      </w:r>
    </w:p>
    <w:p>
      <w:r>
        <w:rPr>
          <w:color w:val="555555"/>
          <w:sz w:val="17"/>
        </w:rPr>
        <w:t xml:space="preserve">Zitiervorschlag: § 89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https://recht.nulegal.eu/gesetze/BayLTGeschO/89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89 BayLTGeschO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