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83a BayLTGeschO (Bayern) — Verfahren bei der Übertragung von Hoheitsrechten auf die Europäische Union</w:t>
      </w:r>
    </w:p>
    <w:p>
      <w:r>
        <w:rPr>
          <w:color w:val="555555"/>
          <w:sz w:val="18"/>
        </w:rPr>
        <w:t xml:space="preserve">Geschäftsordnung für den Bayerischen Landtag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Federführender Ausschuss für die Beratung von Gesetzen nach Art. 70 Abs. 4 Satz 2 der Verfassung ist der Ausschuss für Verfassung, Recht, Parlamentsfragen und Integration.</w:t>
      </w:r>
    </w:p>
    <w:p>
      <w:r>
        <w:rPr>
          <w:color w:val="555555"/>
          <w:sz w:val="17"/>
        </w:rPr>
        <w:t xml:space="preserve">Zitiervorschlag: § 83a BayLTGeschO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https://recht.nulegal.eu/gesetze/BayLTGeschO/83a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