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80 BayLTGeschO (Bayern) — Behandlung in den Ausschüssen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Über Petitionen kann in folgender Weise entschieden werden:</w:t>
      </w:r>
    </w:p>
    <w:p>
      <w:r>
        <w:t xml:space="preserve">1. sie werden ohne Sachbehandlung als unzulässig zurückgewiesen;</w:t>
      </w:r>
    </w:p>
    <w:p>
      <w:r>
        <w:t xml:space="preserve">2. sie werden ohne Sachbehandlung an die zuständige Stelle weitergegeben;</w:t>
      </w:r>
    </w:p>
    <w:p>
      <w:r>
        <w:t xml:space="preserve">3. sie werden der Staatsregierung zur Berücksichtigung, zur Würdigung, als Material oder zur Kenntnisnahme überwiesen;</w:t>
      </w:r>
    </w:p>
    <w:p>
      <w:r>
        <w:t xml:space="preserve">4. sie werden auf Grund einer Erklärung der Staatsregierung oder auf Grund eines Landtags- oder Ausschussbeschlusses für erledigt erklärt;</w:t>
      </w:r>
    </w:p>
    <w:p>
      <w:r>
        <w:t xml:space="preserve">5. es wird ihnen nicht Rechnung getragen;</w:t>
      </w:r>
    </w:p>
    <w:p>
      <w:r>
        <w:t xml:space="preserve">6. es wird über sie zur Tagesordnung übergegangen.</w:t>
      </w:r>
    </w:p>
    <w:p>
      <w:r>
        <w:rPr>
          <w:color w:val="555555"/>
          <w:sz w:val="17"/>
        </w:rPr>
        <w:t xml:space="preserve">Zitiervorschlag: § 80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https://recht.nulegal.eu/gesetze/BayLTGeschO/80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