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BayLTGeschO (Bayern) — Unzulässigkeit von Eingaben und Beschwerden</w:t>
      </w:r>
    </w:p>
    <w:p>
      <w:r>
        <w:rPr>
          <w:color w:val="555555"/>
          <w:sz w:val="18"/>
        </w:rPr>
        <w:t xml:space="preserve">Geschäftsordnung für den Bayerischen Landtag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Sachbehandlung von Petitionen unterbleibt wegen Unzulässigkeit, wenn</w:t>
      </w:r>
    </w:p>
    <w:p>
      <w:r>
        <w:t xml:space="preserve">1. sie nicht eigenhändig in einer Form unterzeichnet sind, die die Urheberin oder den Urheber erkennen lässt,</w:t>
      </w:r>
    </w:p>
    <w:p>
      <w:r>
        <w:t xml:space="preserve">2. sie in ungebührlicher Form eingebracht sind oder schwere Beleidigungen enthalten,</w:t>
      </w:r>
    </w:p>
    <w:p>
      <w:r>
        <w:t xml:space="preserve">3. durch ihren Inhalt oder ihr Verlangen der Tatbestand einer strafbaren Handlung erfüllt wird,</w:t>
      </w:r>
    </w:p>
    <w:p>
      <w:r>
        <w:t xml:space="preserve">4. der gleiche Gegenstand vom Landtag oder einem Ausschuss in der gleichen Legislaturperiode schon behandelt worden ist, ohne dass neue Gesichtspunkte geltend gemacht werden.</w:t>
      </w:r>
    </w:p>
    <w:p>
      <w:r>
        <w:t xml:space="preserve">(2) Eine Sachbehandlung von Petitionen kann unterbleiben, wenn</w:t>
      </w:r>
    </w:p>
    <w:p>
      <w:r>
        <w:t xml:space="preserve">1. sie sich gegen die Entscheidung einer Verwaltungsbehörde richten, gegen die noch Rechtsbehelfe eingelegt werden können,</w:t>
      </w:r>
    </w:p>
    <w:p>
      <w:r>
        <w:t xml:space="preserve">2. sie Sinnwidriges zum Gegenstand haben, unverständlich sind oder kein erkennbares Petitum enthalten,</w:t>
      </w:r>
    </w:p>
    <w:p>
      <w:r>
        <w:t xml:space="preserve">3. der gleiche Gegenstand vom Landtag oder einem Ausschuss in einer früheren Legislaturperiode schon behandelt worden ist, ohne dass neue Gesichtspunkte geltend gemacht werden.</w:t>
      </w:r>
    </w:p>
    <w:p>
      <w:r>
        <w:rPr>
          <w:color w:val="555555"/>
          <w:sz w:val="17"/>
        </w:rPr>
        <w:t xml:space="preserve">Zitiervorschlag: § 77 BayLTGeschO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https://recht.nulegal.eu/gesetze/BayLTGeschO/77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