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75 BayLTGeschO (Bayern) — Unmittelbare Auskunftsverlangen</w:t>
      </w:r>
    </w:p>
    <w:p>
      <w:r>
        <w:rPr>
          <w:color w:val="555555"/>
          <w:sz w:val="18"/>
        </w:rPr>
        <w:t xml:space="preserve">Geschäftsordnung für den Bayerischen Landtag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Mitglieder des Landtags können jederzeit, auch außerhalb der Tagung, sich an die Staatsregierung mit dem Ersuchen um Auskunft über bestimmt bezeichnete Tatsachen wenden.</w:t>
      </w:r>
    </w:p>
    <w:p>
      <w:r>
        <w:rPr>
          <w:color w:val="555555"/>
          <w:sz w:val="17"/>
        </w:rPr>
        <w:t xml:space="preserve">Zitiervorschlag: § 75 BayLTGeschO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https://recht.nulegal.eu/gesetze/BayLTGeschO/75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