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69 BayLTGeschO (Bayern) — Anträge zu Interpellationen</w:t>
      </w:r>
    </w:p>
    <w:p>
      <w:r>
        <w:rPr>
          <w:color w:val="555555"/>
          <w:sz w:val="18"/>
        </w:rPr>
        <w:t xml:space="preserve">Geschäftsordnung für den Bayerischen Landtag</w:t>
      </w:r>
    </w:p>
    <w:p>
      <w:r>
        <w:rPr>
          <w:color w:val="555555"/>
          <w:sz w:val="18"/>
        </w:rPr>
        <w:t xml:space="preserve">Landesrecht Bayern</w:t>
      </w:r>
    </w:p>
    <w:p>
      <w:r>
        <w:rPr>
          <w:color w:val="555555"/>
          <w:sz w:val="18"/>
        </w:rPr>
        <w:t xml:space="preserve">Stand: 25.08.2026 (konsolidierte Textfassung, kein amtliches Inkrafttretensdatum)</w:t>
      </w:r>
    </w:p>
    <w:p>
      <w:r>
        <w:t xml:space="preserve">Anträge zu Interpellationen können nur lauten, dass die Antwort der Staatsregierung der Meinung des Landtags entspricht oder nicht entspricht. Sie müssen von einer Fraktion oder 20 Mitgliedern des Landtags unterstützt sein. Die Abstimmung über solche Anträge muss auf Verlangen von einer Fraktion oder 20 Mitgliedern des Landtags auf den nächsten Sitzungstag verschoben werden.</w:t>
      </w:r>
    </w:p>
    <w:p>
      <w:r>
        <w:rPr>
          <w:color w:val="555555"/>
          <w:sz w:val="17"/>
        </w:rPr>
        <w:t xml:space="preserve">Zitiervorschlag: § 69 BayLTGeschO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https://recht.nulegal.eu/gesetze/BayLTGeschO/69</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