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BayLTGeschO (Bayern) — Änderungsanträge</w:t>
      </w:r>
    </w:p>
    <w:p>
      <w:r>
        <w:rPr>
          <w:color w:val="555555"/>
          <w:sz w:val="18"/>
        </w:rPr>
        <w:t xml:space="preserve">Geschäftsordnung für den Bayerischen Landtag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Änderungsanträge können bis zum Schluss der Aussprache gestellt und bis zum Beginn der Abstimmung zurückgezogen werden.</w:t>
      </w:r>
    </w:p>
    <w:p>
      <w:r>
        <w:t xml:space="preserve">(2) Ein Antrag kann nur mit dem Einverständnis der Antragstellerinnen oder Antragsteller oder der Fraktion bzw. der Mehrheit der Ausschussmitglieder der Fraktion, der die Antragstellerinnen und Antragsteller angehören, geändert werden.</w:t>
      </w:r>
    </w:p>
    <w:p>
      <w:r>
        <w:rPr>
          <w:color w:val="555555"/>
          <w:sz w:val="17"/>
        </w:rPr>
        <w:t xml:space="preserve">Zitiervorschlag: § 62 BayLTGeschO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https://recht.nulegal.eu/gesetze/BayLTGeschO/62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