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BayLTGeschO (Bayern) — Reihenfolge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Reihenfolge der Fraktionen bestimmt sich nach der aktuellen Zahl ihrer Mitglieder. Bei gleicher Anzahl entscheidet die bei der Wahl erzielte Gesamtstimmenzahl.</w:t>
      </w:r>
    </w:p>
    <w:p>
      <w:r>
        <w:t xml:space="preserve">(2) Findet nach dieser Geschäftsordnung das Verfahren nach Sainte-Laguë/Schepers Anwendung und erhält bei der letzten maßgeblichen Rangzahl mehr als eine Fraktion exakt denselben Wert, so kommt die stärkere Fraktion nach Abs. 1 zum Zug; ein Losentscheid findet nicht statt.</w:t>
      </w:r>
    </w:p>
    <w:p>
      <w:r>
        <w:rPr>
          <w:color w:val="555555"/>
          <w:sz w:val="17"/>
        </w:rPr>
        <w:t xml:space="preserve">Zitiervorschlag: § 6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https://recht.nulegal.eu/gesetze/BayLTGeschO/6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