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BayLTGeschO (Bayern) — Einbringung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Gesetzesvorlagen aus der Mitte des Landtags können von einzelnen Mitgliedern des Landtags oder von Fraktionen, nicht aber von Ausschüssen eingebracht werden. Sie sind von den jeweiligen Initiatorinnen und Initiatoren, Fraktionsvorlagen über die Fraktionsgeschäftsstelle beim Landtagsamt elektronisch einzureichen. Von den Fraktionen zur Einreichung ermächtigte Mitarbeiterinnen und Mitarbeiter sind dem Landtagsamt vorab namentlich mitzuteilen.</w:t>
      </w:r>
    </w:p>
    <w:p>
      <w:r>
        <w:t xml:space="preserve">(2) Gesetzesvorlagen der Staatsregierung sind durch die Ministerpräsidentin oder den Ministerpräsidenten einzureichen.</w:t>
      </w:r>
    </w:p>
    <w:p>
      <w:r>
        <w:t xml:space="preserve">(3) Alle Gesetzesvorlagen sind bei der Präsidentin oder beim Präsidenten einzureichen. Der Vorlage soll ein Vorblatt vorangestellt werden, in dem die Punkte</w:t>
      </w:r>
    </w:p>
    <w:p>
      <w:r>
        <w:t xml:space="preserve">– Problem</w:t>
      </w:r>
    </w:p>
    <w:p>
      <w:r>
        <w:t xml:space="preserve">– Lösung</w:t>
      </w:r>
    </w:p>
    <w:p>
      <w:r>
        <w:t xml:space="preserve">– Alternativen</w:t>
      </w:r>
    </w:p>
    <w:p>
      <w:r>
        <w:t xml:space="preserve">– Kosten</w:t>
      </w:r>
    </w:p>
    <w:p>
      <w:r>
        <w:t xml:space="preserve">– Verhältnismäßigkeitsprüfung bei berufsreglementierenden Regelungen im Anwendungsbereich der Richtlinie 2005/36/EG (Anlage 4)</w:t>
      </w:r>
    </w:p>
    <w:p>
      <w:r>
        <w:t xml:space="preserve">angesprochen werden. Im Anschluss an den Gesetzestext kann dieser allgemein und/oder bezogen auf die einzelnen Bestimmungen begründet werden; in den Fällen des Satzes 2 Spiegelstrich 5 muss insoweit eine Begründung erfolgen. Neue Gesetze sollen in Artikel (Art.), Änderungsgesetze in Paragrafen (§) gegliedert werden. Bei Gesetzesvorlagen, in denen es um Angelegenheiten geht, welche die Gemeinden oder die Gemeindeverbände berühren, sind in dem Punkt „Kosten“ die Kosten, die den Gemeinden oder den Gemeindeverbänden durch die Ausführung des beabsichtigten Gesetzes voraussichtlich entstehen werden, ausführlich darzustellen.</w:t>
      </w:r>
    </w:p>
    <w:p>
      <w:r>
        <w:rPr>
          <w:color w:val="555555"/>
          <w:sz w:val="17"/>
        </w:rPr>
        <w:t xml:space="preserve">Zitiervorschlag: § 49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