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44 BayLTGeschO (Bayern) — Wahlergebnis</w:t>
      </w:r>
    </w:p>
    <w:p>
      <w:r>
        <w:rPr>
          <w:color w:val="555555"/>
          <w:sz w:val="18"/>
        </w:rPr>
        <w:t xml:space="preserve">Geschäftsordnung für den Bayerischen Landtag</w:t>
      </w:r>
    </w:p>
    <w:p>
      <w:r>
        <w:rPr>
          <w:color w:val="555555"/>
          <w:sz w:val="18"/>
        </w:rPr>
        <w:t xml:space="preserve">Landesrecht Bayern</w:t>
      </w:r>
    </w:p>
    <w:p>
      <w:r>
        <w:rPr>
          <w:color w:val="555555"/>
          <w:sz w:val="18"/>
        </w:rPr>
        <w:t xml:space="preserve">Stand: 25.08.2026 (konsolidierte Textfassung, kein amtliches Inkrafttretensdatum)</w:t>
      </w:r>
    </w:p>
    <w:p>
      <w:r>
        <w:t xml:space="preserve">Gewählt ist die Kandidatin oder der Kandidat, die oder der mehr als die Hälfte der abgegebenen gültigen Stimmen erhält. Bei der Ermittlung der erforderlichen Mehrheit werden Enthaltungen und im Fall einer Wahl mit mehreren Kandidatinnen und Kandidaten für einen Sitz auch Neinstimmen nicht berücksichtigt. Entsprechendes gilt, wenn nur eine Liste zur Wahl steht.</w:t>
      </w:r>
    </w:p>
    <w:p>
      <w:r>
        <w:rPr>
          <w:color w:val="555555"/>
          <w:sz w:val="17"/>
        </w:rPr>
        <w:t xml:space="preserve">Zitiervorschlag: § 44 BayLTGeschO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https://recht.nulegal.eu/gesetze/BayLTGeschO/44</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