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BayLTGeschO (Bayern) — Gültigkeit der Stimmen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Ungültig sind abgegebene Stimmzettel,</w:t>
      </w:r>
    </w:p>
    <w:p>
      <w:r>
        <w:t xml:space="preserve">1. wenn sie andere Zusätze oder andere Veränderungen als die eindeutige und unmissverständliche Kennzeichnung nach § 42 Abs. 3 enthalten,</w:t>
      </w:r>
    </w:p>
    <w:p>
      <w:r>
        <w:t xml:space="preserve">2. wenn sie den Willen der Wählerin oder des Wählers nicht zweifelsfrei erkennen lassen oder</w:t>
      </w:r>
    </w:p>
    <w:p>
      <w:r>
        <w:t xml:space="preserve">3. wenn die Person der Wählerin oder des Wählers erkennbar wird.</w:t>
      </w:r>
    </w:p>
    <w:p>
      <w:r>
        <w:t xml:space="preserve">(2) Enthaltungen sind gültige Stimmen. Unverändert abgegebene Stimmzettel gelten als Enthaltungen.</w:t>
      </w:r>
    </w:p>
    <w:p>
      <w:r>
        <w:rPr>
          <w:color w:val="555555"/>
          <w:sz w:val="17"/>
        </w:rPr>
        <w:t xml:space="preserve">Zitiervorschlag: § 43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https://recht.nulegal.eu/gesetze/BayLTGeschO/43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