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BayLTGeschO (Bayern) — Auflösung und Abberufung</w:t>
      </w:r>
    </w:p>
    <w:p>
      <w:r>
        <w:rPr>
          <w:color w:val="555555"/>
          <w:sz w:val="18"/>
        </w:rPr>
        <w:t xml:space="preserve">Geschäftsordnung für den Bayerischen Landtag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kann gemäß Art. 18 BV aufgelöst bzw. abberufen werden.</w:t>
      </w:r>
    </w:p>
    <w:p>
      <w:r>
        <w:rPr>
          <w:color w:val="555555"/>
          <w:sz w:val="17"/>
        </w:rPr>
        <w:t xml:space="preserve">Zitiervorschlag: § 3 BayLTGeschO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https://recht.nulegal.eu/gesetze/BayLTGeschO/3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