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BayLTGeschO (Bayern) — Zusammensetzung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Den Fraktionen obliegt die Benennung und Abberufung ihrer Mitglieder in den Ausschüssen.</w:t>
      </w:r>
    </w:p>
    <w:p>
      <w:r>
        <w:t xml:space="preserve">(2) Die Präsidentin oder der Präsident gibt die benannten Mitglieder und späteren Änderungen der Vollversammlung bekannt.</w:t>
      </w:r>
    </w:p>
    <w:p>
      <w:r>
        <w:rPr>
          <w:color w:val="555555"/>
          <w:sz w:val="17"/>
        </w:rPr>
        <w:t xml:space="preserve">Zitiervorschlag: § 26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https://recht.nulegal.eu/gesetze/BayLTGeschO/26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