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BayLTGeschO (Bayern) — Aufgaben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Ausschüsse haben die Verhandlungen der Vollversammlung vorzubereiten und über Eingaben und Beschwerden zu entscheiden. Soweit die Vollversammlung nicht selbst entscheidet, nimmt der Ausschuss für Staatshaushalt und Finanzfragen die Rechte des Landtags gemäß Art. 64 Abs. 2 und Art. 65 Abs. 7 BayHO wahr.</w:t>
      </w:r>
    </w:p>
    <w:p>
      <w:r>
        <w:t xml:space="preserve">(2) Die Unterausschüsse berichten über ihre Beratungen dem jeweiligen Ausschuss.</w:t>
      </w:r>
    </w:p>
    <w:p>
      <w:r>
        <w:rPr>
          <w:color w:val="555555"/>
          <w:sz w:val="17"/>
        </w:rPr>
        <w:t xml:space="preserve">Zitiervorschlag: § 24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