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 BayLTGeschO (Bayern) — Rechte und Pflichten</w:t>
      </w:r>
    </w:p>
    <w:p>
      <w:r>
        <w:rPr>
          <w:color w:val="555555"/>
          <w:sz w:val="18"/>
        </w:rPr>
        <w:t xml:space="preserve">Geschäftsordnung für den Bayerischen Landtag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 Rechte und Pflichten des Zwischenausschusses regeln sich nach Art. 26 und 32 BV.</w:t>
      </w:r>
    </w:p>
    <w:p>
      <w:r>
        <w:rPr>
          <w:color w:val="555555"/>
          <w:sz w:val="17"/>
        </w:rPr>
        <w:t xml:space="preserve">Zitiervorschlag: § 20 BayLTGeschO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https://recht.nulegal.eu/gesetze/BayLTGeschO/20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