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192 BayLTGeschO (Bayern) — Landtagsamt</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Landtag unterhält zur Erledigung seiner laufenden Geschäfte ein Landtagsamt.</w:t>
      </w:r>
    </w:p>
    <w:p>
      <w:r>
        <w:t xml:space="preserve">(2) Die Präsidentin oder der Präsident erlässt für das Landtagsamt eine Dienstordnung, die der Zustimmung des Präsidiums bedarf. Bis zum Erlass einer gesonderten Dienstordnung gilt die Allgemeine Geschäftsordnung für die Behörden des Freistaates Bayern (AGO).</w:t>
      </w:r>
    </w:p>
    <w:p>
      <w:r>
        <w:rPr>
          <w:color w:val="555555"/>
          <w:sz w:val="17"/>
        </w:rPr>
        <w:t xml:space="preserve">Zitiervorschlag: § 192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https://recht.nulegal.eu/gesetze/BayLTGeschO/192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