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191 BayLTGeschO (Bayern) — Verschlusssachen</w:t>
      </w:r>
    </w:p>
    <w:p>
      <w:r>
        <w:rPr>
          <w:color w:val="555555"/>
          <w:sz w:val="18"/>
        </w:rPr>
        <w:t xml:space="preserve">Geschäftsordnung für den Bayerischen Landtag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Behandlung von Verschlusssachen, d.h. aller Angelegenheiten, die im staatlichen Interesse durch besondere Sicherheitsmaßnahmen vor Unbefugten geheim gehalten werden müssen, gilt die Geheimschutzordnung des Bayerischen Landtags (Anlage 2).</w:t>
      </w:r>
    </w:p>
    <w:p>
      <w:r>
        <w:rPr>
          <w:color w:val="555555"/>
          <w:sz w:val="17"/>
        </w:rPr>
        <w:t xml:space="preserve">Zitiervorschlag: § 191 BayLTGeschO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https://recht.nulegal.eu/gesetze/BayLTGeschO/191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