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BayLTGeschO (Bayern) — Vollversammlung</w:t>
      </w:r>
    </w:p>
    <w:p>
      <w:r>
        <w:rPr>
          <w:color w:val="555555"/>
          <w:sz w:val="18"/>
        </w:rPr>
        <w:t xml:space="preserve">Geschäftsordnung für den Bayerischen Landtag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Mitglieder des Landtags bilden die Vollversammlung, die am Sitz der Staatsregierung zusammentritt.</w:t>
      </w:r>
    </w:p>
    <w:p>
      <w:r>
        <w:t xml:space="preserve">(2) In der Vollversammlung werden insbesondere die Verhandlungsgegenstände des Landtags abschließend beraten und entschieden, so weit sich nicht aus einem Gesetz oder aus dieser Geschäftsordnung etwas anderes ergibt.</w:t>
      </w:r>
    </w:p>
    <w:p>
      <w:r>
        <w:rPr>
          <w:color w:val="555555"/>
          <w:sz w:val="17"/>
        </w:rPr>
        <w:t xml:space="preserve">Zitiervorschlag: § 19 BayLTGeschO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https://recht.nulegal.eu/gesetze/BayLTGeschO/19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