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182 BayLTGeschO (Bayern) — Niederschrift in der Vollversammlung</w:t>
      </w:r>
    </w:p>
    <w:p>
      <w:r>
        <w:rPr>
          <w:color w:val="555555"/>
          <w:sz w:val="18"/>
        </w:rPr>
        <w:t xml:space="preserve">Geschäftsordnung für den Bayerischen Landtag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Sitzungen der Vollversammlung einer Legislaturperiode werden fortlaufend nummeriert.</w:t>
      </w:r>
    </w:p>
    <w:p>
      <w:r>
        <w:t xml:space="preserve">(2) Über die Verhandlungen in der Vollversammlung werden wortgetreue Niederschriften erstellt.</w:t>
      </w:r>
    </w:p>
    <w:p>
      <w:r>
        <w:t xml:space="preserve">(3) Die Niederschriften werden gedruckt und elektronisch bereitgestellt.</w:t>
      </w:r>
    </w:p>
    <w:p>
      <w:r>
        <w:t xml:space="preserve">(4) Aufzeichnungen über die Verhandlungen des Landtags (z.B. Stenogramme, Tonaufnahmen) sind nach Weisung des Präsidiums eine angemessene Zeit aufzubewahren.</w:t>
      </w:r>
    </w:p>
    <w:p>
      <w:r>
        <w:rPr>
          <w:color w:val="555555"/>
          <w:sz w:val="17"/>
        </w:rPr>
        <w:t xml:space="preserve">Zitiervorschlag: § 182 BayLTGeschO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https://recht.nulegal.eu/gesetze/BayLTGeschO/182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182 BayLTGeschO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