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140 BayLTGeschO (Bayern) — Aufnahmen in Bild und Ton in öffentlicher Sitzung</w:t>
      </w:r>
    </w:p>
    <w:p>
      <w:r>
        <w:rPr>
          <w:color w:val="555555"/>
          <w:sz w:val="18"/>
        </w:rPr>
        <w:t xml:space="preserve">Geschäftsordnung für den Bayerischen Landtag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Aufnahmen in Bild und Ton bedürfen für Sitzungen der Ausschüsse, Unterausschüsse und Untersuchungsausschüsse in jedem Fall der Genehmigung der betreffenden Ausschüsse. § 138 Abs. 1 Satz 2 bleibt unberührt.</w:t>
      </w:r>
    </w:p>
    <w:p>
      <w:r>
        <w:rPr>
          <w:color w:val="555555"/>
          <w:sz w:val="17"/>
        </w:rPr>
        <w:t xml:space="preserve">Zitiervorschlag: § 140 BayLTGeschO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https://recht.nulegal.eu/gesetze/BayLTGeschO/140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