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131 BayLTGeschO (Bayern) — Unzulässigkeit der namentlichen Abstimmung</w:t>
      </w:r>
    </w:p>
    <w:p>
      <w:r>
        <w:rPr>
          <w:color w:val="555555"/>
          <w:sz w:val="18"/>
        </w:rPr>
        <w:t xml:space="preserve">Geschäftsordnung für den Bayerischen Landtag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Eine namentliche Abstimmung im Sinne des § 127 Abs. 1 ist unzulässig bei Beschlussfassung über</w:t>
      </w:r>
    </w:p>
    <w:p>
      <w:r>
        <w:t xml:space="preserve">1. die Stärke eines Ausschusses;</w:t>
      </w:r>
    </w:p>
    <w:p>
      <w:r>
        <w:t xml:space="preserve">2. Anträge auf Überweisung an einen Ausschuss;</w:t>
      </w:r>
    </w:p>
    <w:p>
      <w:r>
        <w:t xml:space="preserve">3. die Abkürzung von Fristen;</w:t>
      </w:r>
    </w:p>
    <w:p>
      <w:r>
        <w:t xml:space="preserve">4. Sitzungszeiten und Tagesordnung;</w:t>
      </w:r>
    </w:p>
    <w:p>
      <w:r>
        <w:t xml:space="preserve">5. Vertagung der Sitzung;</w:t>
      </w:r>
    </w:p>
    <w:p>
      <w:r>
        <w:t xml:space="preserve">6. Vertagung eines Beratungsgegenstandes, Schluss der Redeliste oder der Aussprache;</w:t>
      </w:r>
    </w:p>
    <w:p>
      <w:r>
        <w:t xml:space="preserve">7. Widersprüche hinsichtlich der Fragestellung bei Abstimmungen;</w:t>
      </w:r>
    </w:p>
    <w:p>
      <w:r>
        <w:t xml:space="preserve">8. Anträge auf getrennte Abstimmung;</w:t>
      </w:r>
    </w:p>
    <w:p>
      <w:r>
        <w:t xml:space="preserve">9. Anträge zur Geschäftsordnung;</w:t>
      </w:r>
    </w:p>
    <w:p>
      <w:r>
        <w:t xml:space="preserve">10. Anträge auf Erscheinen eines Mitglieds der Staatsregierung.</w:t>
      </w:r>
    </w:p>
    <w:p>
      <w:r>
        <w:rPr>
          <w:color w:val="555555"/>
          <w:sz w:val="17"/>
        </w:rPr>
        <w:t xml:space="preserve">Zitiervorschlag: § 131 BayLTGeschO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https://recht.nulegal.eu/gesetze/BayLTGeschO/131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