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121 BayLTGeschO (Bayern) — Verbot von Störungen des Sitzungsverlaufs durch Besucherinnen und Besucher</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Beifallskundgebungen oder Missfallensäußerungen, Zwischenrufe oder sonstige Störungen jeder Art sind den Zuhörerinnen und Zuhörern untersagt.</w:t>
      </w:r>
    </w:p>
    <w:p>
      <w:r>
        <w:t xml:space="preserve">(2) Die Präsidentin oder der Präsident hat jede Äußerung oder Einmischung der Zuhörerinnen und Zuhörer zu untersagen, Zuwiderhandelnde gegebenenfalls feststellen und entfernen zu lassen und nötigenfalls die Räumung der Tribünen anzuordnen. In diesem Fall kann sie oder er die Sitzung auf eine bestimmte Zeit unterbrechen.</w:t>
      </w:r>
    </w:p>
    <w:p>
      <w:r>
        <w:t xml:space="preserve">(3) Bei Zuwiderhandlungen gegen Anordnungen des Bayerischen Landtags oder seiner Präsidentin oder seines Präsidenten ist die Direktorin oder der Direktor des Landtagsamtes die nach Art. 59 des Landesstraf- und Verordnungsgesetzes zuständige Verwaltungsbehörde für die Verfolgung und Ahndung von Ordnungswidrigkeiten nach § 112 des Gesetzes über Ordnungswidrigkeiten.</w:t>
      </w:r>
    </w:p>
    <w:p>
      <w:r>
        <w:t xml:space="preserve">(4) Die Präsidentin oder der Präsident erlässt eine Besucherordnung.</w:t>
      </w:r>
    </w:p>
    <w:p>
      <w:r>
        <w:rPr>
          <w:color w:val="555555"/>
          <w:sz w:val="17"/>
        </w:rPr>
        <w:t xml:space="preserve">Zitiervorschlag: § 121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https://recht.nulegal.eu/gesetze/BayLTGeschO/121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