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BayLTGeschO (Bayern) — Verweisung zur Sache, Wortentziehung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Präsidentin oder der Präsident hat eine Rednerin oder einen Redner, die oder der vom Beratungsgegenstand abschweift, zur Sache zu verweisen. Ist eine Rednerin oder ein Redner während derselben Rede drei Mal zur Sache verwiesen und beim zweiten Ruf auf die möglichen Folgen des dritten hingewiesen worden, so kann die Vollversammlung auf Frage der Präsidentin oder des Präsidenten hin beschließen, dass dieser Rednerin oder diesem Redner das Wort entzogen wird.</w:t>
      </w:r>
    </w:p>
    <w:p>
      <w:r>
        <w:t xml:space="preserve">(2) Der Beschluss wird ohne Beratung gefasst. Einem Mitglied des Landtags, dem das Wort entzogen ist, wird das Wort zum selben Beratungsgegenstand nicht wieder erteilt, es sei denn, die Aussprache wird durch die Wortergreifung eines Mitglieds der Staatsregierung oder aus anderen Gründen von neuem eröffnet.</w:t>
      </w:r>
    </w:p>
    <w:p>
      <w:r>
        <w:rPr>
          <w:color w:val="555555"/>
          <w:sz w:val="17"/>
        </w:rPr>
        <w:t xml:space="preserve">Zitiervorschlag: § 115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