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BayLTGeschO (Bayern) — Erklärung außerhalb der Tagesordnung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Zu einer Erklärung außerhalb der Tagesordnung von höchstens fünf Minuten, die in unmittelbarem Zusammenhang mit der Arbeit des Landtags stehen muss, kann die Präsidentin oder der Präsident das Wort erteilen. Die Erklärung ist ihr oder ihm vorher auf Verlangen schriftlich vorzulegen. Mit der Erklärung dürfen keine Anträge verbunden werden. Sofern die Vollversammlung nicht mehr Rednerinnen und Redner zulässt, kann jeweils höchstens einer Rednerin oder einem Redner jeder Fraktion hierzu das Wort bis zu fünf Minuten erteilt werden.</w:t>
      </w:r>
    </w:p>
    <w:p>
      <w:r>
        <w:t xml:space="preserve">(2) Weigert sich die Präsidentin oder der Präsident, die Erklärung verlesen zu lassen, so entscheidet auf Antrag der Ältestenrat endgültig.</w:t>
      </w:r>
    </w:p>
    <w:p>
      <w:r>
        <w:rPr>
          <w:color w:val="555555"/>
          <w:sz w:val="17"/>
        </w:rPr>
        <w:t xml:space="preserve">Zitiervorschlag: § 113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