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BayLTGeschO (Bayern) — Einberufung und Beschlussfähigkeit</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Das Präsidium wird von der Präsidentin oder vom Präsidenten mit einer angemessenen Frist unter Angabe der Tagesordnung einberufen und geleitet. Es muss einberufen werden, wenn mindestens drei seiner Mitglieder die Einberufung unter Angabe des Zwecks verlangen. Im Präsidium ist keine Vertretung möglich.</w:t>
      </w:r>
    </w:p>
    <w:p>
      <w:r>
        <w:t xml:space="preserve">(2) Das Präsidium ist beschlussfähig, wenn einschließlich der Präsidentin oder des Präsidenten oder einer Vizepräsidentin oder eines Vizepräsidenten mehr als die Hälfte seiner Mitglieder anwesend sind. Die Beschlüsse werden mit einfacher Stimmenmehrheit gefasst.</w:t>
      </w:r>
    </w:p>
    <w:p>
      <w:r>
        <w:rPr>
          <w:color w:val="555555"/>
          <w:sz w:val="17"/>
        </w:rPr>
        <w:t xml:space="preserve">Zitiervorschlag: § 10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