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BayLStiftErrG (Bayern)</w:t>
      </w:r>
    </w:p>
    <w:p>
      <w:r>
        <w:rPr>
          <w:color w:val="555555"/>
          <w:sz w:val="18"/>
        </w:rPr>
        <w:t xml:space="preserve">Gesetz über die Verwendung des bisherigen Domänengutes und über die Errichtung einer Landesstiftung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Dieses Gesetz tritt mit seiner Verkündung in Kraft.</w:t>
      </w:r>
    </w:p>
    <w:p>
      <w:r>
        <w:t xml:space="preserve">[Amtl. Anm.:] Betrifft die ursprüngliche Fassung vom 9. August 1919 (Nr. 38 der Gesetzsammlung für Sachsen – Coburg, publiziert und ausgegeben mit dem 69. Stück des Regierungsblattes vom 23. August 1919, S. 257, ber. S. 292)</w:t>
      </w:r>
    </w:p>
    <w:p>
      <w:r>
        <w:rPr>
          <w:color w:val="555555"/>
          <w:sz w:val="17"/>
        </w:rPr>
        <w:t xml:space="preserve">Zitiervorschlag: § 8 BayLStiftErrG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https://recht.nulegal.eu/gesetze/BayLStiftErrG/8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