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BayLStiftErrG (Bayern)</w:t>
      </w:r>
    </w:p>
    <w:p>
      <w:r>
        <w:rPr>
          <w:color w:val="555555"/>
          <w:sz w:val="18"/>
        </w:rPr>
        <w:t xml:space="preserve">Gesetz über die Verwendung des bisherigen Domänengutes und über die Errichtung einer Landesstiftung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bis (3) (aufgehoben)</w:t>
      </w:r>
    </w:p>
    <w:p>
      <w:r>
        <w:t xml:space="preserve">(4) (gegenstandslos)</w:t>
      </w:r>
    </w:p>
    <w:p>
      <w:r>
        <w:t xml:space="preserve">(5) (aufgehoben)</w:t>
      </w:r>
    </w:p>
    <w:p>
      <w:r>
        <w:rPr>
          <w:color w:val="555555"/>
          <w:sz w:val="17"/>
        </w:rPr>
        <w:t xml:space="preserve">Zitiervorschlag: § 6 BayLStiftErrG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https://recht.nulegal.eu/gesetze/BayLStiftErrG/6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