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BayLStiftErrG (Bayern)</w:t>
      </w:r>
    </w:p>
    <w:p>
      <w:r>
        <w:rPr>
          <w:color w:val="555555"/>
          <w:sz w:val="18"/>
        </w:rPr>
        <w:t xml:space="preserve">Gesetz über die Verwendung des bisherigen Domänengutes und über die Errichtung einer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Stiftung können andere Stiftungen oder Vermögensmassen zur vollständigen Vereinigung oder in Form einer Verwaltungsgemeinschaft angegliedert werden, vorbehaltlich der Wahrung der besonderen Zwecke, denen diese Stiftung oder Massen gewidmet sind.</w:t>
      </w:r>
    </w:p>
    <w:p>
      <w:r>
        <w:t xml:space="preserve">(2) Die Bestimmung des § 3 Abs. 7 Satz 2 findet entsprechende Anwendung.</w:t>
      </w:r>
    </w:p>
    <w:p>
      <w:r>
        <w:rPr>
          <w:color w:val="555555"/>
          <w:sz w:val="17"/>
        </w:rPr>
        <w:t xml:space="preserve">Zitiervorschlag: § 4 BayLStiftErrG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https://recht.nulegal.eu/gesetze/BayLStiftErrG/4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