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BayLStiftErrG (Bayern)</w:t>
      </w:r>
    </w:p>
    <w:p>
      <w:r>
        <w:rPr>
          <w:color w:val="555555"/>
          <w:sz w:val="18"/>
        </w:rPr>
        <w:t xml:space="preserve">Gesetz über die Verwendung des bisherigen Domänengutes und über die Errichtung einer Landesstiftung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Förderung der Volksbildung und der Volkswohlfahrt im Gebiet des Freistaates Coburg wird eine Stiftung errichtet, die den Namen</w:t>
      </w:r>
    </w:p>
    <w:p>
      <w:r>
        <w:t xml:space="preserve">„Coburger Landesstiftung“</w:t>
      </w:r>
    </w:p>
    <w:p>
      <w:r>
        <w:t xml:space="preserve">führt und ihren Sitz in Coburg hat.</w:t>
      </w:r>
    </w:p>
    <w:p>
      <w:r>
        <w:t xml:space="preserve">(2) Die Stiftung ist rechtsfähig und genießt, da sie in erster Linie der hohen Aufgabe der Volksbildung gewidmet ist und ihre Einrichtungen (Kunst-, kulturgeschichtliche und naturwissenschaftliche Sammlungen, Baudenkmäler usw.) als Anschauungsmittel für den Unterricht und die Fortbildung der Jugend darbieten und vorführen soll, alle Vorrechte einer milden und gemeinnützigen Stiftung.</w:t>
      </w:r>
    </w:p>
    <w:p>
      <w:r>
        <w:rPr>
          <w:color w:val="555555"/>
          <w:sz w:val="17"/>
        </w:rPr>
        <w:t xml:space="preserve">Zitiervorschlag: § 1 BayLStiftErrG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https://recht.nulegal.eu/gesetze/BayLStiftErrG/1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