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BayLStS (Bayern)</w:t>
      </w:r>
    </w:p>
    <w:p>
      <w:r>
        <w:rPr>
          <w:color w:val="555555"/>
          <w:sz w:val="18"/>
        </w:rPr>
        <w:t xml:space="preserve">Satzung der Bayerischen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11 Satz 2 des Gesetzes über die Bayerische Landesstiftung – BayLStG – (BayRS 282-2-10-F), zuletzt geändert durch § 1 Nr. 312 der Verordnung vom 22. Juli 2014 (GVBl S. 286), erlässt die Bayerische Staatsregierung folgende Satzung:</w:t>
      </w:r>
    </w:p>
    <w:p>
      <w:r>
        <w:rPr>
          <w:color w:val="555555"/>
          <w:sz w:val="17"/>
        </w:rPr>
        <w:t xml:space="preserve">Zitiervorschlag: Eingangsformel BayLStS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https://recht.nulegal.eu/gesetze/BayLStS/eingangsformel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