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BayLStS (Bayern) — Haushalts- und Wirtschaftsführung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Haushaltsplan ist der Aufsichtsbehörde einen Monat vor Beginn des neuen Geschäftsjahres vorzulegen.</w:t>
      </w:r>
    </w:p>
    <w:p>
      <w:r>
        <w:t xml:space="preserve">(2) Die Stiftungsrechnung ist durch eine Wirtschaftsprüfungsgesellschaft zu prüfen, deren Prüfbericht der Aufsichtsbehörde zeitgleich zur Stiftungsrechnung vorzulegen ist.</w:t>
      </w:r>
    </w:p>
    <w:p>
      <w:r>
        <w:t xml:space="preserve">(3) Es gelten die Rechtsvorschriften des Freistaates Bayern über das Haushalts-, Kassen- und Rechnungswesen entsprechend.</w:t>
      </w:r>
    </w:p>
    <w:p>
      <w:r>
        <w:rPr>
          <w:color w:val="555555"/>
          <w:sz w:val="17"/>
        </w:rPr>
        <w:t xml:space="preserve">Zitiervorschlag: § 9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