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BayLStS (Bayern) — Aufgaben des Stiftungsrats</w:t>
      </w:r>
    </w:p>
    <w:p>
      <w:r>
        <w:rPr>
          <w:color w:val="555555"/>
          <w:sz w:val="18"/>
        </w:rPr>
        <w:t xml:space="preserve">Satzung der Bayerischen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Stiftungsrat beschließt insbesondere über</w:t>
      </w:r>
    </w:p>
    <w:p>
      <w:r>
        <w:t xml:space="preserve">1. die Aufstellung des Haushalts- und Wirtschaftsplans, der Stiftungsrechnung und der Vermögensübersicht,</w:t>
      </w:r>
    </w:p>
    <w:p>
      <w:r>
        <w:t xml:space="preserve">2. die Entlastung des Vorstands,</w:t>
      </w:r>
    </w:p>
    <w:p>
      <w:r>
        <w:t xml:space="preserve">3. die Bestimmung des Abschlussprüfers für die Stiftungsrechnung,</w:t>
      </w:r>
    </w:p>
    <w:p>
      <w:r>
        <w:t xml:space="preserve">4. die Wahl eines weiteren stellvertretenden vorsitzenden Mitglieds des Stiftungsrats,</w:t>
      </w:r>
    </w:p>
    <w:p>
      <w:r>
        <w:t xml:space="preserve">5. die Bildung von Ausschüssen des Stiftungsrats,</w:t>
      </w:r>
    </w:p>
    <w:p>
      <w:r>
        <w:t xml:space="preserve">6. den Erlass von Richtlinien für die Geschäftsführung, die Verwaltung des Stiftungsvermögens und die Vergabe von Fördermitteln der Stiftung; Art. 44 Abs. 1 Satz 4 BayHO gilt mit der Maßgabe, dass entsprechende Richtlinien das Einvernehmen des für Finanzen zuständigen Staatsministeriums bedürfen,</w:t>
      </w:r>
    </w:p>
    <w:p>
      <w:r>
        <w:t xml:space="preserve">7. die Einstellung von Arbeitnehmern ab Entgeltgruppe 13 des Tarifvertrags für den öffentlichen Dienst der Länder (TV-L).</w:t>
      </w:r>
    </w:p>
    <w:p>
      <w:r>
        <w:t xml:space="preserve">(2) Der Zustimmung des Stiftungsrats bedarf der Stiftungsvorstand für</w:t>
      </w:r>
    </w:p>
    <w:p>
      <w:r>
        <w:t xml:space="preserve">1. die Aufstellung und Änderung seiner Geschäftsordnung,</w:t>
      </w:r>
    </w:p>
    <w:p>
      <w:r>
        <w:t xml:space="preserve">2. die Aufstellung und Veröffentlichung des Jahresberichts über die Tätigkeit der Stiftung,</w:t>
      </w:r>
    </w:p>
    <w:p>
      <w:r>
        <w:t xml:space="preserve">3. Umschichtungen im Vermögen der Stiftung, wenn sie von den Vorgaben des Stiftungsrats abweichen, und</w:t>
      </w:r>
    </w:p>
    <w:p>
      <w:r>
        <w:t xml:space="preserve">4. die Einstellung von Arbeitnehmern der Stiftung ab Entgeltgruppe 9 TV-L; Abs. 1 Nr. 7 bleibt unberührt.</w:t>
      </w:r>
    </w:p>
    <w:p>
      <w:r>
        <w:rPr>
          <w:color w:val="555555"/>
          <w:sz w:val="17"/>
        </w:rPr>
        <w:t xml:space="preserve">Zitiervorschlag: § 8 BayLStS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https://recht.nulegal.eu/gesetze/BayLStS/8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