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BayLStS (Bayern) — Stiftungsrat</w:t>
      </w:r>
    </w:p>
    <w:p>
      <w:r>
        <w:rPr>
          <w:color w:val="555555"/>
          <w:sz w:val="18"/>
        </w:rPr>
        <w:t xml:space="preserve">Satzung der Bayerischen Landesstiftung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in Art. 8 Abs. 2 Nrn. 1 und 2 BayLStG genannten Stiftungsratsmitglieder bestimmen ihre Stellvertreter jeweils selbst. Die übrigen Stellvertreter werden entsprechend Art. 8 Abs. 3 bis 5 BayLStG bestellt.</w:t>
      </w:r>
    </w:p>
    <w:p>
      <w:r>
        <w:t xml:space="preserve">(2) Der Stiftungsrat kann aus seiner Mitte Ausschüsse zur Vorbereitung von Entscheidungen bilden.</w:t>
      </w:r>
    </w:p>
    <w:p>
      <w:r>
        <w:t xml:space="preserve">(3) § 5 Abs. 3 ist im Rahmen des Art. 8 Abs. 9 BayLStG entsprechend anzuwenden.</w:t>
      </w:r>
    </w:p>
    <w:p>
      <w:r>
        <w:rPr>
          <w:color w:val="555555"/>
          <w:sz w:val="17"/>
        </w:rPr>
        <w:t xml:space="preserve">Zitiervorschlag: § 6 BayLStS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https://recht.nulegal.eu/gesetze/BayLStS/6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