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BayLStS (Bayern) — Stiftungsvorstand</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beruft die Sitzungen des Vorstands ein und leitet sie. Im Übrigen regelt der Vorstand den Geschäftsgang und die Geschäftsverteilung in einer Geschäftsordnung, die der Zustimmung des Stiftungsrats bedarf.</w:t>
      </w:r>
    </w:p>
    <w:p>
      <w:r>
        <w:t xml:space="preserve">(2) Jedes Vorstandsmitglied ist für die Stiftung jeweils einzeln passiv vertretungsberechtigt.</w:t>
      </w:r>
    </w:p>
    <w:p>
      <w:r>
        <w:t xml:space="preserve">(3) Die Tätigkeiten des Stiftungsvorstands sind grundsätzlich ehrenamtlich. Der Stiftungsrat kann zur Abgeltung persönlicher Auslagen angemessene Pauschalbeträge sowie pauschale Tätigkeitsvergütungen für Mitglieder des Vorstands festlegen.</w:t>
      </w:r>
    </w:p>
    <w:p>
      <w:r>
        <w:rPr>
          <w:color w:val="555555"/>
          <w:sz w:val="17"/>
        </w:rPr>
        <w:t xml:space="preserve">Zitiervorschlag: § 5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