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BayLStS (Bayern) — Stiftungsvermögen</w:t>
      </w:r>
    </w:p>
    <w:p>
      <w:r>
        <w:rPr>
          <w:color w:val="555555"/>
          <w:sz w:val="18"/>
        </w:rPr>
        <w:t xml:space="preserve">Satzung der Bayerischen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dürfen Rücklagen gebildet werden, um das Stiftungsvermögen in seinem Bestand ungeschmälert zu erhalten und den Stiftungszweck nachhaltig zu fördern.</w:t>
      </w:r>
    </w:p>
    <w:p>
      <w:r>
        <w:rPr>
          <w:color w:val="555555"/>
          <w:sz w:val="17"/>
        </w:rPr>
        <w:t xml:space="preserve">Zitiervorschlag: § 4 BayLStS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https://recht.nulegal.eu/gesetze/BayLStS/4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