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BayLStS (Bayern) — Inkrafttreten, Außerkrafttreten</w:t>
      </w:r>
    </w:p>
    <w:p>
      <w:r>
        <w:rPr>
          <w:color w:val="555555"/>
          <w:sz w:val="18"/>
        </w:rPr>
        <w:t xml:space="preserve">Satzung der Bayerischen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Satzung tritt am 1. Februar 2015 in Kraft.</w:t>
      </w:r>
    </w:p>
    <w:p>
      <w:r>
        <w:t xml:space="preserve">(2) Mit Ablauf des 31. Januar 2015 tritt die Satzung der Bayerischen Landesstiftung vom 9. Januar 1973 (BayRS 282-2-10-1-F), zuletzt geändert durch Satzung vom 7. Dezember 2010 (GVBl S. 770), außer Kraft.</w:t>
      </w:r>
    </w:p>
    <w:p>
      <w:r>
        <w:rPr>
          <w:color w:val="555555"/>
          <w:sz w:val="17"/>
        </w:rPr>
        <w:t xml:space="preserve">Zitiervorschlag: § 12 BayLStS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https://recht.nulegal.eu/gesetze/BayLStS/12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