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BayLStS (Bayern) — Beschäftigte der Stiftung</w:t>
      </w:r>
    </w:p>
    <w:p>
      <w:r>
        <w:rPr>
          <w:color w:val="555555"/>
          <w:sz w:val="18"/>
        </w:rPr>
        <w:t xml:space="preserve">Satzung der Bayerischen Landesstiftung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die Arbeitnehmer der Stiftung sind die tarifrechtlichen Vorschriften anzuwenden, die für Arbeitnehmer des Freistaates Bayern gelten.</w:t>
      </w:r>
    </w:p>
    <w:p>
      <w:r>
        <w:t xml:space="preserve">(2) Dienstvorgesetzter der nicht zum Vorstand gehörenden Beamten und Arbeitnehmer der Stiftung ist das vorsitzende Mitglied des Stiftungsvorstands.</w:t>
      </w:r>
    </w:p>
    <w:p>
      <w:r>
        <w:rPr>
          <w:color w:val="555555"/>
          <w:sz w:val="17"/>
        </w:rPr>
        <w:t xml:space="preserve">Zitiervorschlag: § 10 BayLStS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https://recht.nulegal.eu/gesetze/BayLStS/10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