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BayLStG (Bayern) — Arbeitskräfte</w:t>
      </w:r>
    </w:p>
    <w:p>
      <w:r>
        <w:rPr>
          <w:color w:val="555555"/>
          <w:sz w:val="18"/>
        </w:rPr>
        <w:t xml:space="preserve">Gesetz über die Bayerische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Verwaltung der Stiftung kann mit Beamten und Arbeitnehmern besetzt werden.</w:t>
      </w:r>
    </w:p>
    <w:p>
      <w:r>
        <w:t xml:space="preserve">(2) Die bei der Stiftung tätigen Beamten sind Staatsbeamte. Oberste Dienstbehörde ist das Staatsministerium der Finanzen und für Heimat. Die Stiftung hat den Besoldungs- und Versorgungsaufwand zu tragen.</w:t>
      </w:r>
    </w:p>
    <w:p>
      <w:r>
        <w:rPr>
          <w:color w:val="555555"/>
          <w:sz w:val="17"/>
        </w:rPr>
        <w:t xml:space="preserve">Zitiervorschlag: Art 9 BayLStG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