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 3 BayLStG (Bayern) — Stiftungsgenuß</w:t>
      </w:r>
    </w:p>
    <w:p>
      <w:r>
        <w:rPr>
          <w:color w:val="555555"/>
          <w:sz w:val="18"/>
        </w:rPr>
        <w:t xml:space="preserve">Gesetz über die Bayerische Landesstiftung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(1) Die Stiftung verfolgt ihre Zwecke durch Gewährung von Zuschüssen und Darlehen und durch die Übernahme von Bürgschaften und Garantien.</w:t>
      </w:r>
    </w:p>
    <w:p>
      <w:r>
        <w:t xml:space="preserve">(2) Ein Rechtsanspruch auf die Gewährung des jederzeit widerruflichen Stiftungsgenusses besteht nicht.</w:t>
      </w:r>
    </w:p>
    <w:p>
      <w:r>
        <w:rPr>
          <w:color w:val="555555"/>
          <w:sz w:val="17"/>
        </w:rPr>
        <w:t xml:space="preserve">Zitiervorschlag: Art 3 BayLStG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https://recht.nulegal.eu/gesetze/BayLStG/3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